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57" w:rsidRPr="0066785C" w:rsidRDefault="00337857" w:rsidP="0066785C">
      <w:pPr>
        <w:pStyle w:val="Overskrift2"/>
        <w:rPr>
          <w:rFonts w:eastAsia="Times New Roman"/>
          <w:color w:val="auto"/>
          <w:lang w:val="en-US" w:eastAsia="da-DK"/>
        </w:rPr>
      </w:pPr>
      <w:proofErr w:type="gramStart"/>
      <w:r w:rsidRPr="0066785C">
        <w:rPr>
          <w:rFonts w:eastAsia="Times New Roman"/>
          <w:color w:val="auto"/>
          <w:lang w:val="en-US" w:eastAsia="da-DK"/>
        </w:rPr>
        <w:t>Effect of imipramin</w:t>
      </w:r>
      <w:r w:rsidR="0066785C" w:rsidRPr="0066785C">
        <w:rPr>
          <w:rFonts w:eastAsia="Times New Roman"/>
          <w:color w:val="auto"/>
          <w:lang w:val="en-US" w:eastAsia="da-DK"/>
        </w:rPr>
        <w:t>e on urethral opening pressure - a</w:t>
      </w:r>
      <w:r w:rsidRPr="0066785C">
        <w:rPr>
          <w:rFonts w:eastAsia="Times New Roman"/>
          <w:color w:val="auto"/>
          <w:lang w:val="en-US" w:eastAsia="da-DK"/>
        </w:rPr>
        <w:t xml:space="preserve"> randomized, double-blind, placebo-controlled crossover study in healthy women.</w:t>
      </w:r>
      <w:proofErr w:type="gramEnd"/>
    </w:p>
    <w:p w:rsidR="00337857" w:rsidRPr="0066785C" w:rsidRDefault="00337857" w:rsidP="00337857">
      <w:pPr>
        <w:shd w:val="clear" w:color="auto" w:fill="FFFFFF"/>
        <w:spacing w:after="0" w:line="360" w:lineRule="auto"/>
        <w:ind w:left="720"/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</w:pP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u w:val="single"/>
          <w:lang w:eastAsia="da-DK"/>
        </w:rPr>
        <w:t xml:space="preserve">Kornholt </w:t>
      </w:r>
      <w:proofErr w:type="gramStart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u w:val="single"/>
          <w:lang w:eastAsia="da-DK"/>
        </w:rPr>
        <w:t>J.  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eastAsia="da-DK"/>
        </w:rPr>
        <w:t>,</w:t>
      </w:r>
      <w:proofErr w:type="gramEnd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eastAsia="da-DK"/>
        </w:rPr>
        <w:t xml:space="preserve"> Sonne D.P.  </w:t>
      </w:r>
      <w:r w:rsidRP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, Sonne J.  , Klarskov N. </w:t>
      </w:r>
    </w:p>
    <w:p w:rsidR="00337857" w:rsidRPr="00337857" w:rsidRDefault="00337857" w:rsidP="00337857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</w:pPr>
      <w:r w:rsidRPr="00337857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>Objectives</w:t>
      </w: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 xml:space="preserve">: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Imipramine, an old tricyclic antidepressant, affects multiple neurotransmitter systems, which may affect the function of the lower urinary tract. It acts as a serotonergic and norepinephrine reuptake inhibitor, and is an antagonist to the muscarinic acetylcholine receptor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s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and adrenergic receptors. Imipramine has previously been shown to exert beneficial ef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fects in patients</w:t>
      </w:r>
      <w:r w:rsidR="000B714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with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stress</w:t>
      </w:r>
      <w:r w:rsidR="000B714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urinary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incontinence, where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the treatment resulted in reduced symptoms and increased maximum closure pressure. However, this finding has never been confirmed in a placebo-controlled study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,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and imipramine is continuously being used off-label for the treatment of stress 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and mixed urinary incontinence.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Urethral pressure reflectometry (UPR) is a reliable and repeatable technique which can detect pharmacological induced pressure changes in the urethra. The purpose of this study was to i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nvestigate the effect of single-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dose imipramine on the urethral opening pressure (UOP) in healthy women using UPR.</w:t>
      </w:r>
    </w:p>
    <w:p w:rsidR="00337857" w:rsidRPr="00337857" w:rsidRDefault="00337857" w:rsidP="00337857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</w:pPr>
      <w:r w:rsidRPr="00337857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>Materials &amp; Methods</w:t>
      </w: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 xml:space="preserve">: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A randomi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z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ed, double-blind, placebo-controlled, crossover study investigating the effect of single dose 50 mg imipramine on UOP. </w:t>
      </w:r>
      <w:r w:rsidR="000B714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A power calculation showed that 16 subject were needed to show a difference of 10 cm H</w:t>
      </w:r>
      <w:r w:rsidR="000B714C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2</w:t>
      </w:r>
      <w:r w:rsidR="000B714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O with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eastAsia="da-DK"/>
        </w:rPr>
        <w:t>α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= .05 </w:t>
      </w:r>
      <w:r w:rsidR="000B714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and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po</w:t>
      </w:r>
      <w:r w:rsidR="000B714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wer = 99%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. UOP was measured pre-dose and one hour post-dose (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equal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to </w:t>
      </w:r>
      <w:proofErr w:type="spellStart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t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max</w:t>
      </w:r>
      <w:proofErr w:type="spellEnd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 for imipramine) during rest and squeeze. A washout period of minimum 1 week was chosen. The study was approved by the local ethics committee and conducted according to Good Clinical Practice (GCP) guidelines. </w:t>
      </w:r>
    </w:p>
    <w:p w:rsidR="00337857" w:rsidRPr="00337857" w:rsidRDefault="00337857" w:rsidP="00337857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</w:pPr>
      <w:r w:rsidRPr="00337857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>Results</w:t>
      </w: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 xml:space="preserve">: </w:t>
      </w:r>
      <w:r w:rsidR="0066785C">
        <w:rPr>
          <w:rFonts w:asciiTheme="majorHAnsi" w:eastAsia="Times New Roman" w:hAnsiTheme="majorHAnsi" w:cs="Times New Roman"/>
          <w:bCs/>
          <w:color w:val="333333"/>
          <w:sz w:val="24"/>
          <w:szCs w:val="24"/>
          <w:lang w:val="en-US" w:eastAsia="da-DK"/>
        </w:rPr>
        <w:t xml:space="preserve">We recruited and included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16 subjects. Al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l of them completed the study. 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Imipramine increased UOP in the resting condition with 6.5 cm H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2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O [95% CI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: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˗0.5, 13.5], </w:t>
      </w:r>
      <w:r w:rsidRPr="00337857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val="en-US" w:eastAsia="da-DK"/>
        </w:rPr>
        <w:t>p</w:t>
      </w:r>
      <w:proofErr w:type="gramStart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  =</w:t>
      </w:r>
      <w:proofErr w:type="gramEnd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0.07, and in the squeeze condition with 7.9 cm H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2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O [95% CI ˗0.3, 16.1], </w:t>
      </w:r>
      <w:r w:rsidRPr="00337857">
        <w:rPr>
          <w:rFonts w:asciiTheme="majorHAnsi" w:eastAsia="Times New Roman" w:hAnsiTheme="majorHAnsi" w:cs="Times New Roman"/>
          <w:i/>
          <w:iCs/>
          <w:color w:val="333333"/>
          <w:sz w:val="24"/>
          <w:szCs w:val="24"/>
          <w:lang w:val="en-US" w:eastAsia="da-DK"/>
        </w:rPr>
        <w:t>p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 = 0.06.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br/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N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o serious adverse events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(AE) were reported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. There were seven adverse drug reactions (ADRs) related to imipramine, one ADR related to placebo and two 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AEs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related to UPR.</w:t>
      </w:r>
    </w:p>
    <w:p w:rsidR="00A7254A" w:rsidRPr="00337857" w:rsidRDefault="00337857" w:rsidP="00A071F3">
      <w:pPr>
        <w:shd w:val="clear" w:color="auto" w:fill="FFFFFF"/>
        <w:spacing w:after="0" w:line="360" w:lineRule="auto"/>
        <w:rPr>
          <w:lang w:val="en-US"/>
        </w:rPr>
      </w:pPr>
      <w:r w:rsidRPr="00337857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>Conclusions</w:t>
      </w: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 w:eastAsia="da-DK"/>
        </w:rPr>
        <w:t xml:space="preserve">: 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Imipramine insignificantly increased the UOP 6.5 cm H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2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O. </w:t>
      </w:r>
      <w:proofErr w:type="spellStart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Midodrine</w:t>
      </w:r>
      <w:proofErr w:type="spellEnd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, duloxetine and </w:t>
      </w:r>
      <w:proofErr w:type="spellStart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reboxetine</w:t>
      </w:r>
      <w:proofErr w:type="spellEnd"/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 xml:space="preserve"> increased the UOP 9.3 cm H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2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O, 24</w:t>
      </w:r>
      <w:r w:rsidR="0066785C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.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2 cm H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2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O and 44.9 cm H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vertAlign w:val="subscript"/>
          <w:lang w:val="en-US" w:eastAsia="da-DK"/>
        </w:rPr>
        <w:t>2</w:t>
      </w:r>
      <w:r w:rsidRPr="00337857">
        <w:rPr>
          <w:rFonts w:asciiTheme="majorHAnsi" w:eastAsia="Times New Roman" w:hAnsiTheme="majorHAnsi" w:cs="Times New Roman"/>
          <w:color w:val="333333"/>
          <w:sz w:val="24"/>
          <w:szCs w:val="24"/>
          <w:lang w:val="en-US" w:eastAsia="da-DK"/>
        </w:rPr>
        <w:t>O, respectively in a similar study. Thus the effect of imipramine is not clinically relevant and we do, therefore, not recommend the off-label use of imipramine for the treatment of stress urinary incontinence or mixed urinary incontinence.</w:t>
      </w:r>
      <w:bookmarkStart w:id="0" w:name="_GoBack"/>
      <w:bookmarkEnd w:id="0"/>
    </w:p>
    <w:sectPr w:rsidR="00A7254A" w:rsidRPr="003378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7"/>
    <w:rsid w:val="000B714C"/>
    <w:rsid w:val="00337857"/>
    <w:rsid w:val="00481233"/>
    <w:rsid w:val="0066785C"/>
    <w:rsid w:val="00A071F3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57"/>
  </w:style>
  <w:style w:type="paragraph" w:styleId="Overskrift1">
    <w:name w:val="heading 1"/>
    <w:basedOn w:val="Normal"/>
    <w:next w:val="Normal"/>
    <w:link w:val="Overskrift1Tegn"/>
    <w:uiPriority w:val="9"/>
    <w:qFormat/>
    <w:rsid w:val="0066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57"/>
  </w:style>
  <w:style w:type="paragraph" w:styleId="Overskrift1">
    <w:name w:val="heading 1"/>
    <w:basedOn w:val="Normal"/>
    <w:next w:val="Normal"/>
    <w:link w:val="Overskrift1Tegn"/>
    <w:uiPriority w:val="9"/>
    <w:qFormat/>
    <w:rsid w:val="00667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7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67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7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Klarskov</dc:creator>
  <cp:lastModifiedBy>Jonatan Kornholt</cp:lastModifiedBy>
  <cp:revision>2</cp:revision>
  <cp:lastPrinted>2017-10-31T14:47:00Z</cp:lastPrinted>
  <dcterms:created xsi:type="dcterms:W3CDTF">2017-11-01T11:04:00Z</dcterms:created>
  <dcterms:modified xsi:type="dcterms:W3CDTF">2017-11-01T11:04:00Z</dcterms:modified>
</cp:coreProperties>
</file>